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8B" w:rsidRPr="005B5D1A" w:rsidRDefault="00544E8B" w:rsidP="00544E8B">
      <w:pPr>
        <w:widowControl/>
        <w:spacing w:line="360" w:lineRule="exact"/>
        <w:ind w:left="510" w:hangingChars="150" w:hanging="510"/>
        <w:jc w:val="left"/>
        <w:rPr>
          <w:rFonts w:ascii="Times New Roman" w:eastAsia="方正黑体_GBK" w:hAnsi="Times New Roman"/>
          <w:sz w:val="34"/>
          <w:szCs w:val="34"/>
        </w:rPr>
      </w:pPr>
      <w:r w:rsidRPr="005B5D1A">
        <w:rPr>
          <w:rFonts w:ascii="Times New Roman" w:eastAsia="方正黑体_GBK" w:hAnsi="Times New Roman"/>
          <w:sz w:val="34"/>
          <w:szCs w:val="34"/>
        </w:rPr>
        <w:t>附</w:t>
      </w:r>
      <w:r w:rsidRPr="005B5D1A">
        <w:rPr>
          <w:rFonts w:ascii="Times New Roman" w:eastAsia="方正黑体_GBK" w:hAnsi="Times New Roman"/>
          <w:sz w:val="34"/>
          <w:szCs w:val="34"/>
        </w:rPr>
        <w:t xml:space="preserve"> </w:t>
      </w:r>
      <w:r w:rsidRPr="005B5D1A">
        <w:rPr>
          <w:rFonts w:ascii="Times New Roman" w:eastAsia="方正黑体_GBK" w:hAnsi="Times New Roman"/>
          <w:sz w:val="34"/>
          <w:szCs w:val="34"/>
        </w:rPr>
        <w:t>件</w:t>
      </w:r>
    </w:p>
    <w:p w:rsidR="00544E8B" w:rsidRPr="005B5D1A" w:rsidRDefault="00544E8B" w:rsidP="00544E8B">
      <w:pPr>
        <w:widowControl/>
        <w:spacing w:line="360" w:lineRule="exact"/>
        <w:ind w:left="510" w:hangingChars="150" w:hanging="510"/>
        <w:jc w:val="left"/>
        <w:rPr>
          <w:rFonts w:ascii="Times New Roman" w:eastAsia="仿宋_GB2312" w:hAnsi="Times New Roman"/>
          <w:sz w:val="34"/>
          <w:szCs w:val="34"/>
        </w:rPr>
      </w:pPr>
      <w:bookmarkStart w:id="0" w:name="_GoBack"/>
      <w:bookmarkEnd w:id="0"/>
    </w:p>
    <w:p w:rsidR="00544E8B" w:rsidRPr="005B5D1A" w:rsidRDefault="00544E8B" w:rsidP="00544E8B">
      <w:pPr>
        <w:widowControl/>
        <w:spacing w:line="480" w:lineRule="exact"/>
        <w:ind w:left="541" w:hangingChars="150" w:hanging="541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5B5D1A">
        <w:rPr>
          <w:rFonts w:ascii="Times New Roman" w:eastAsia="华文中宋" w:hAnsi="Times New Roman"/>
          <w:b/>
          <w:color w:val="000000"/>
          <w:kern w:val="0"/>
          <w:sz w:val="36"/>
          <w:szCs w:val="36"/>
        </w:rPr>
        <w:t>“</w:t>
      </w:r>
      <w:r w:rsidRPr="005B5D1A">
        <w:rPr>
          <w:rFonts w:ascii="Times New Roman" w:eastAsia="华文中宋" w:hAnsi="Times New Roman"/>
          <w:b/>
          <w:color w:val="000000"/>
          <w:kern w:val="0"/>
          <w:sz w:val="36"/>
          <w:szCs w:val="36"/>
        </w:rPr>
        <w:t>比安全、比本领</w:t>
      </w:r>
      <w:r w:rsidRPr="005B5D1A">
        <w:rPr>
          <w:rFonts w:ascii="Times New Roman" w:eastAsia="华文中宋" w:hAnsi="Times New Roman"/>
          <w:b/>
          <w:kern w:val="0"/>
          <w:sz w:val="36"/>
          <w:szCs w:val="36"/>
        </w:rPr>
        <w:t>、比质量、比进度、比创新、比效益</w:t>
      </w:r>
    </w:p>
    <w:p w:rsidR="00544E8B" w:rsidRPr="005B5D1A" w:rsidRDefault="00544E8B" w:rsidP="00544E8B">
      <w:pPr>
        <w:widowControl/>
        <w:spacing w:line="360" w:lineRule="exact"/>
        <w:ind w:left="541" w:hangingChars="150" w:hanging="541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5B5D1A">
        <w:rPr>
          <w:rFonts w:ascii="Times New Roman" w:eastAsia="华文中宋" w:hAnsi="Times New Roman"/>
          <w:b/>
          <w:kern w:val="0"/>
          <w:sz w:val="36"/>
          <w:szCs w:val="36"/>
        </w:rPr>
        <w:t>稳发展</w:t>
      </w:r>
      <w:proofErr w:type="gramStart"/>
      <w:r w:rsidRPr="005B5D1A">
        <w:rPr>
          <w:rFonts w:ascii="Times New Roman" w:eastAsia="华文中宋" w:hAnsi="Times New Roman"/>
          <w:b/>
          <w:kern w:val="0"/>
          <w:sz w:val="36"/>
          <w:szCs w:val="36"/>
        </w:rPr>
        <w:t>”</w:t>
      </w:r>
      <w:proofErr w:type="gramEnd"/>
      <w:r w:rsidRPr="005B5D1A">
        <w:rPr>
          <w:rFonts w:ascii="Times New Roman" w:eastAsia="华文中宋" w:hAnsi="Times New Roman"/>
          <w:b/>
          <w:kern w:val="0"/>
          <w:sz w:val="36"/>
          <w:szCs w:val="36"/>
        </w:rPr>
        <w:t>主题劳动和技能竞赛活动评分标准细则</w:t>
      </w:r>
    </w:p>
    <w:p w:rsidR="00544E8B" w:rsidRPr="005B5D1A" w:rsidRDefault="00544E8B" w:rsidP="00544E8B">
      <w:pPr>
        <w:widowControl/>
        <w:spacing w:line="360" w:lineRule="exact"/>
        <w:ind w:left="541" w:hangingChars="150" w:hanging="541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33"/>
        <w:gridCol w:w="3780"/>
        <w:gridCol w:w="651"/>
        <w:gridCol w:w="1300"/>
        <w:gridCol w:w="767"/>
        <w:gridCol w:w="891"/>
      </w:tblGrid>
      <w:tr w:rsidR="00544E8B" w:rsidRPr="005B5D1A" w:rsidTr="00886295">
        <w:trPr>
          <w:trHeight w:val="54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评比项目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评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比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内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分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得分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竞赛方案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制定竞赛工作方案，有竞赛考核办法和具体保障措施。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内容设置简单减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方案结合本单位实际，可操作性强，不照搬照抄上级文件。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组织领导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竞赛组织机构健全（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3 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分），责任分工明确（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2 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竞赛活动有部署、检查、考评、奖励、总结，工作体系健全、流程完整。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缺少环节减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职工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br/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参与率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参与人数占本企业人数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70%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按其中一项评分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参与人数占本企业人数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50%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参与人数占本企业人数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30%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竞赛进度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按照市总工会竞赛方案规定的时间节点前完成。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按其中一项评分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竞赛活动完成，但</w:t>
            </w:r>
            <w:proofErr w:type="gramStart"/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滞后市</w:t>
            </w:r>
            <w:proofErr w:type="gramEnd"/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总工会竞赛方案规定的时间节点。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活动宣传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开展网络、微信、板报、橱窗、展板、条幅等宣传，营造竞赛氛围。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形式单一减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利用内外部和社会等媒体大力宣传竞赛活动。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信息上报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按照竞赛活动时间安排，每个阶段及时向直属上级工会和市总工会上报工作情况。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竞赛共三个阶段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,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少报一次减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分。一次不报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0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实际效果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竞赛活动针对性强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,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促进本地区、产业（行业）、企业发展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,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有力推动企业抗击疫情复工复产。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4E8B" w:rsidRPr="005B5D1A" w:rsidTr="00886295">
        <w:trPr>
          <w:trHeight w:val="20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2.</w:t>
            </w: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较竞赛前创新成果、刷新纪录、提升效益等可量化对比，成效显著。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8B" w:rsidRPr="005B5D1A" w:rsidRDefault="00544E8B" w:rsidP="00886295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5B5D1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500E" w:rsidRDefault="003F500E"/>
    <w:sectPr w:rsidR="003F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6"/>
    <w:rsid w:val="003F500E"/>
    <w:rsid w:val="00544E8B"/>
    <w:rsid w:val="00881336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2020-04-30T07:57:00Z</dcterms:created>
  <dcterms:modified xsi:type="dcterms:W3CDTF">2020-04-30T07:57:00Z</dcterms:modified>
</cp:coreProperties>
</file>